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2" w:type="dxa"/>
        <w:tblCellMar>
          <w:top w:w="60" w:type="dxa"/>
          <w:left w:w="60" w:type="dxa"/>
          <w:bottom w:w="60" w:type="dxa"/>
          <w:right w:w="60" w:type="dxa"/>
        </w:tblCellMar>
        <w:tblLook w:val="04A0" w:firstRow="1" w:lastRow="0" w:firstColumn="1" w:lastColumn="0" w:noHBand="0" w:noVBand="1"/>
      </w:tblPr>
      <w:tblGrid>
        <w:gridCol w:w="8474"/>
      </w:tblGrid>
      <w:tr w:rsidR="003876AC" w:rsidRPr="003876AC">
        <w:trPr>
          <w:tblCellSpacing w:w="12" w:type="dxa"/>
        </w:trPr>
        <w:tc>
          <w:tcPr>
            <w:tcW w:w="0" w:type="auto"/>
            <w:hideMark/>
          </w:tcPr>
          <w:p w:rsidR="003876AC" w:rsidRPr="003876AC" w:rsidRDefault="003876AC" w:rsidP="003876AC">
            <w:pPr>
              <w:widowControl/>
              <w:spacing w:line="432" w:lineRule="atLeast"/>
              <w:jc w:val="center"/>
              <w:rPr>
                <w:rFonts w:ascii="Times New Roman" w:eastAsia="新細明體" w:hAnsi="Times New Roman" w:cs="Times New Roman"/>
                <w:color w:val="000000" w:themeColor="text1"/>
                <w:spacing w:val="8"/>
                <w:kern w:val="0"/>
                <w:szCs w:val="24"/>
              </w:rPr>
            </w:pPr>
            <w:bookmarkStart w:id="0" w:name="_GoBack"/>
            <w:bookmarkEnd w:id="0"/>
            <w:r w:rsidRPr="003876AC">
              <w:rPr>
                <w:rFonts w:ascii="Times New Roman" w:eastAsia="新細明體" w:hAnsi="Times New Roman" w:cs="Times New Roman"/>
                <w:b/>
                <w:bCs/>
                <w:color w:val="000000" w:themeColor="text1"/>
                <w:spacing w:val="8"/>
                <w:kern w:val="0"/>
                <w:szCs w:val="24"/>
              </w:rPr>
              <w:t>Bylaw regarding Short-term Visiting Scholars from Abroad</w:t>
            </w:r>
          </w:p>
        </w:tc>
      </w:tr>
      <w:tr w:rsidR="003876AC" w:rsidRPr="003876AC">
        <w:trPr>
          <w:tblCellSpacing w:w="12" w:type="dxa"/>
        </w:trPr>
        <w:tc>
          <w:tcPr>
            <w:tcW w:w="0" w:type="auto"/>
            <w:hideMark/>
          </w:tcPr>
          <w:p w:rsidR="003876AC" w:rsidRPr="003876AC" w:rsidRDefault="003876AC" w:rsidP="003876AC">
            <w:pPr>
              <w:widowControl/>
              <w:spacing w:line="432" w:lineRule="atLeast"/>
              <w:jc w:val="righ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(Announced as of the date 01/12/2011)</w:t>
            </w:r>
          </w:p>
        </w:tc>
      </w:tr>
      <w:tr w:rsidR="003876AC" w:rsidRPr="003876AC">
        <w:trPr>
          <w:tblCellSpacing w:w="12" w:type="dxa"/>
        </w:trPr>
        <w:tc>
          <w:tcPr>
            <w:tcW w:w="0" w:type="auto"/>
          </w:tcPr>
          <w:p w:rsidR="003876AC" w:rsidRPr="003876AC" w:rsidRDefault="003876AC" w:rsidP="003876AC">
            <w:pPr>
              <w:widowControl/>
              <w:spacing w:line="432" w:lineRule="atLeast"/>
              <w:jc w:val="right"/>
              <w:rPr>
                <w:rFonts w:ascii="Times New Roman" w:eastAsia="新細明體" w:hAnsi="Times New Roman" w:cs="Times New Roman"/>
                <w:color w:val="000000" w:themeColor="text1"/>
                <w:spacing w:val="8"/>
                <w:kern w:val="0"/>
                <w:szCs w:val="24"/>
              </w:rPr>
            </w:pPr>
          </w:p>
        </w:tc>
      </w:tr>
      <w:tr w:rsidR="003876AC" w:rsidRPr="003876AC">
        <w:trPr>
          <w:tblCellSpacing w:w="12" w:type="dxa"/>
        </w:trPr>
        <w:tc>
          <w:tcPr>
            <w:tcW w:w="0" w:type="auto"/>
            <w:hideMark/>
          </w:tcPr>
          <w:tbl>
            <w:tblPr>
              <w:tblW w:w="5000" w:type="pct"/>
              <w:tblCellSpacing w:w="6" w:type="dxa"/>
              <w:tblCellMar>
                <w:top w:w="36" w:type="dxa"/>
                <w:left w:w="36" w:type="dxa"/>
                <w:bottom w:w="36" w:type="dxa"/>
                <w:right w:w="36" w:type="dxa"/>
              </w:tblCellMar>
              <w:tblLook w:val="04A0" w:firstRow="1" w:lastRow="0" w:firstColumn="1" w:lastColumn="0" w:noHBand="0" w:noVBand="1"/>
            </w:tblPr>
            <w:tblGrid>
              <w:gridCol w:w="453"/>
              <w:gridCol w:w="7853"/>
            </w:tblGrid>
            <w:tr w:rsidR="003876AC" w:rsidRPr="003876AC">
              <w:trPr>
                <w:tblCellSpacing w:w="6" w:type="dxa"/>
              </w:trPr>
              <w:tc>
                <w:tcPr>
                  <w:tcW w:w="25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1.</w:t>
                  </w:r>
                </w:p>
              </w:tc>
              <w:tc>
                <w:tcPr>
                  <w:tcW w:w="450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This bylaw is provided to enhance scholarly exchange and collaboration between the Institutum Iurisprudentiae, Academia Sinica (hereinafter “IIAS”) and international academic institutions by hosting visiting scholars from abroad to conduct research at IIAS.</w:t>
                  </w:r>
                </w:p>
              </w:tc>
            </w:tr>
            <w:tr w:rsidR="003876AC" w:rsidRPr="003876AC">
              <w:trPr>
                <w:tblCellSpacing w:w="6" w:type="dxa"/>
              </w:trPr>
              <w:tc>
                <w:tcPr>
                  <w:tcW w:w="25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2.</w:t>
                  </w:r>
                </w:p>
              </w:tc>
              <w:tc>
                <w:tcPr>
                  <w:tcW w:w="450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Scholars from other countries may apply for the visiting scholarship, if they meet the following qualifications,</w:t>
                  </w:r>
                  <w:r w:rsidRPr="003876AC">
                    <w:rPr>
                      <w:rFonts w:ascii="Times New Roman" w:eastAsia="新細明體" w:hAnsi="Times New Roman" w:cs="Times New Roman"/>
                      <w:color w:val="000000" w:themeColor="text1"/>
                      <w:spacing w:val="8"/>
                      <w:kern w:val="0"/>
                      <w:szCs w:val="24"/>
                    </w:rPr>
                    <w:br/>
                    <w:t>(1) The applicant currently holds a full-time academic position in a university or research institution in another country, equivalent to the position of assistant professor or above in Taiwan;</w:t>
                  </w:r>
                  <w:r w:rsidRPr="003876AC">
                    <w:rPr>
                      <w:rFonts w:ascii="Times New Roman" w:eastAsia="新細明體" w:hAnsi="Times New Roman" w:cs="Times New Roman"/>
                      <w:color w:val="000000" w:themeColor="text1"/>
                      <w:spacing w:val="8"/>
                      <w:kern w:val="0"/>
                      <w:szCs w:val="24"/>
                    </w:rPr>
                    <w:br/>
                    <w:t>(2) The applicant’s research expertise falls within at least one of the core research fields of IIAS.</w:t>
                  </w:r>
                </w:p>
              </w:tc>
            </w:tr>
            <w:tr w:rsidR="003876AC" w:rsidRPr="003876AC">
              <w:trPr>
                <w:tblCellSpacing w:w="6" w:type="dxa"/>
              </w:trPr>
              <w:tc>
                <w:tcPr>
                  <w:tcW w:w="25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3.</w:t>
                  </w:r>
                </w:p>
              </w:tc>
              <w:tc>
                <w:tcPr>
                  <w:tcW w:w="450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An applicant shall submit the application file to IIAS at least six months prior to his or her scheduled visit.  The application file shall include three copies each of the application form (Attachment 1), C.V., research proposal, list of latest publication of the past three years, and representative works</w:t>
                  </w:r>
                </w:p>
              </w:tc>
            </w:tr>
            <w:tr w:rsidR="003876AC" w:rsidRPr="003876AC">
              <w:trPr>
                <w:tblCellSpacing w:w="6" w:type="dxa"/>
              </w:trPr>
              <w:tc>
                <w:tcPr>
                  <w:tcW w:w="25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4.</w:t>
                  </w:r>
                </w:p>
              </w:tc>
              <w:tc>
                <w:tcPr>
                  <w:tcW w:w="450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 xml:space="preserve">After receiving an application file, the Director shall review the file to make sure the applicant has satisfied the qualifications indicated in Article 2. </w:t>
                  </w:r>
                  <w:r w:rsidRPr="003876AC">
                    <w:rPr>
                      <w:rFonts w:ascii="Times New Roman" w:eastAsia="新細明體" w:hAnsi="Times New Roman" w:cs="Times New Roman"/>
                      <w:color w:val="000000" w:themeColor="text1"/>
                      <w:spacing w:val="8"/>
                      <w:kern w:val="0"/>
                      <w:szCs w:val="24"/>
                    </w:rPr>
                    <w:br/>
                    <w:t xml:space="preserve">Once the applicant satisfies the qualifications, the Director should organize a review committee of three to five scholars from IIAS as well as from other institutes and initiate the review process. </w:t>
                  </w:r>
                  <w:r w:rsidRPr="003876AC">
                    <w:rPr>
                      <w:rFonts w:ascii="Times New Roman" w:eastAsia="新細明體" w:hAnsi="Times New Roman" w:cs="Times New Roman"/>
                      <w:color w:val="000000" w:themeColor="text1"/>
                      <w:spacing w:val="8"/>
                      <w:kern w:val="0"/>
                      <w:szCs w:val="24"/>
                    </w:rPr>
                    <w:br/>
                    <w:t>When an application is approved by the review committee, the Director shall decide upon the approval of research grant and the amount to be awarded to the applicant during her or his visit, which is subject to actual need.</w:t>
                  </w:r>
                </w:p>
              </w:tc>
            </w:tr>
            <w:tr w:rsidR="003876AC" w:rsidRPr="003876AC">
              <w:trPr>
                <w:tblCellSpacing w:w="6" w:type="dxa"/>
              </w:trPr>
              <w:tc>
                <w:tcPr>
                  <w:tcW w:w="25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lastRenderedPageBreak/>
                    <w:t>5.</w:t>
                  </w:r>
                </w:p>
              </w:tc>
              <w:tc>
                <w:tcPr>
                  <w:tcW w:w="450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 xml:space="preserve">The visiting period shall be no less than three months but no more than one year. </w:t>
                  </w:r>
                </w:p>
              </w:tc>
            </w:tr>
            <w:tr w:rsidR="003876AC" w:rsidRPr="003876AC">
              <w:trPr>
                <w:tblCellSpacing w:w="6" w:type="dxa"/>
              </w:trPr>
              <w:tc>
                <w:tcPr>
                  <w:tcW w:w="25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6.</w:t>
                  </w:r>
                </w:p>
              </w:tc>
              <w:tc>
                <w:tcPr>
                  <w:tcW w:w="450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 xml:space="preserve">A visiting scholar shall give at least one academic presentation reporting on her or his research during the visit.  A visiting scholar shall submit a research report in written form within two months after her or his visit. </w:t>
                  </w:r>
                  <w:r w:rsidRPr="003876AC">
                    <w:rPr>
                      <w:rFonts w:ascii="Times New Roman" w:eastAsia="新細明體" w:hAnsi="Times New Roman" w:cs="Times New Roman"/>
                      <w:color w:val="000000" w:themeColor="text1"/>
                      <w:spacing w:val="8"/>
                      <w:kern w:val="0"/>
                      <w:szCs w:val="24"/>
                    </w:rPr>
                    <w:br/>
                    <w:t xml:space="preserve">If the visitor would like to publish her or his research conducted during the visit, she or he shall note the support from IIAS in the publication. </w:t>
                  </w:r>
                </w:p>
              </w:tc>
            </w:tr>
            <w:tr w:rsidR="003876AC" w:rsidRPr="003876AC">
              <w:trPr>
                <w:tblCellSpacing w:w="6" w:type="dxa"/>
              </w:trPr>
              <w:tc>
                <w:tcPr>
                  <w:tcW w:w="25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7.</w:t>
                  </w:r>
                </w:p>
              </w:tc>
              <w:tc>
                <w:tcPr>
                  <w:tcW w:w="450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 xml:space="preserve">The director has the authority to decide the number of visitors for each year pursuant to IIAS’ financial condition and other practical concerns. </w:t>
                  </w:r>
                </w:p>
              </w:tc>
            </w:tr>
            <w:tr w:rsidR="003876AC" w:rsidRPr="003876AC">
              <w:trPr>
                <w:tblCellSpacing w:w="6" w:type="dxa"/>
              </w:trPr>
              <w:tc>
                <w:tcPr>
                  <w:tcW w:w="25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8.</w:t>
                  </w:r>
                </w:p>
              </w:tc>
              <w:tc>
                <w:tcPr>
                  <w:tcW w:w="450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The expense of visiting scholarship shall be included in IIAS’ annual budget and supported by other expenditures or allowances of IIAS.</w:t>
                  </w:r>
                </w:p>
              </w:tc>
            </w:tr>
            <w:tr w:rsidR="003876AC" w:rsidRPr="003876AC">
              <w:trPr>
                <w:tblCellSpacing w:w="6" w:type="dxa"/>
              </w:trPr>
              <w:tc>
                <w:tcPr>
                  <w:tcW w:w="25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9.</w:t>
                  </w:r>
                </w:p>
              </w:tc>
              <w:tc>
                <w:tcPr>
                  <w:tcW w:w="450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This bylaw shall become effective upon the approval of the Academic Advisory Committee.  Any change to the bylaw must be ratified by the Academic Advisory Committee.</w:t>
                  </w:r>
                </w:p>
              </w:tc>
            </w:tr>
            <w:tr w:rsidR="003876AC" w:rsidRPr="003876AC">
              <w:trPr>
                <w:tblCellSpacing w:w="6" w:type="dxa"/>
              </w:trPr>
              <w:tc>
                <w:tcPr>
                  <w:tcW w:w="25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10.</w:t>
                  </w:r>
                </w:p>
              </w:tc>
              <w:tc>
                <w:tcPr>
                  <w:tcW w:w="4500" w:type="pct"/>
                  <w:hideMark/>
                </w:tcPr>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r w:rsidRPr="003876AC">
                    <w:rPr>
                      <w:rFonts w:ascii="Times New Roman" w:eastAsia="新細明體" w:hAnsi="Times New Roman" w:cs="Times New Roman"/>
                      <w:color w:val="000000" w:themeColor="text1"/>
                      <w:spacing w:val="8"/>
                      <w:kern w:val="0"/>
                      <w:szCs w:val="24"/>
                    </w:rPr>
                    <w:t>If there is any dispute regarding the bylaw, the Chinese version is authoritative and controls the meaning of this bylaw.</w:t>
                  </w:r>
                </w:p>
              </w:tc>
            </w:tr>
          </w:tbl>
          <w:p w:rsidR="003876AC" w:rsidRPr="003876AC" w:rsidRDefault="003876AC" w:rsidP="003876AC">
            <w:pPr>
              <w:widowControl/>
              <w:spacing w:line="432" w:lineRule="atLeast"/>
              <w:rPr>
                <w:rFonts w:ascii="Times New Roman" w:eastAsia="新細明體" w:hAnsi="Times New Roman" w:cs="Times New Roman"/>
                <w:color w:val="000000" w:themeColor="text1"/>
                <w:spacing w:val="8"/>
                <w:kern w:val="0"/>
                <w:szCs w:val="24"/>
              </w:rPr>
            </w:pPr>
          </w:p>
        </w:tc>
      </w:tr>
    </w:tbl>
    <w:p w:rsidR="00A10579" w:rsidRPr="003876AC" w:rsidRDefault="00A10579">
      <w:pPr>
        <w:rPr>
          <w:color w:val="000000" w:themeColor="text1"/>
        </w:rPr>
      </w:pPr>
    </w:p>
    <w:sectPr w:rsidR="00A10579" w:rsidRPr="003876AC">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6AC"/>
    <w:rsid w:val="003876AC"/>
    <w:rsid w:val="00A10579"/>
    <w:rsid w:val="00A956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2320</Characters>
  <Application>Microsoft Office Word</Application>
  <DocSecurity>0</DocSecurity>
  <Lines>19</Lines>
  <Paragraphs>5</Paragraphs>
  <ScaleCrop>false</ScaleCrop>
  <Company>Hewlett-Packard Company</Company>
  <LinksUpToDate>false</LinksUpToDate>
  <CharactersWithSpaces>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jeses</dc:creator>
  <cp:lastModifiedBy>chaocing</cp:lastModifiedBy>
  <cp:revision>2</cp:revision>
  <dcterms:created xsi:type="dcterms:W3CDTF">2014-08-12T06:59:00Z</dcterms:created>
  <dcterms:modified xsi:type="dcterms:W3CDTF">2014-08-12T06:59:00Z</dcterms:modified>
</cp:coreProperties>
</file>